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50D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014B79">
      <w:pPr>
        <w:pStyle w:val="1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ЧТУП «ТЕХНОТУРСЕРВИС»</w:t>
      </w:r>
    </w:p>
    <w:p w14:paraId="64B95DDC">
      <w:pPr>
        <w:pStyle w:val="1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  <w:t>г.Минск проспект Партизанский 81-509 г-ца «Турист» ст. метро Партизанская</w:t>
      </w:r>
    </w:p>
    <w:p w14:paraId="3652B955">
      <w:pPr>
        <w:pStyle w:val="1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  <w:t xml:space="preserve">Тел. 3-47-01-91, 29 6566662 е-mail:tts2000@list.ru   ,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http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://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www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technotourservice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.с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t>om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 w:color="000000"/>
          <w:lang w:val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  <w:fldChar w:fldCharType="end"/>
      </w:r>
    </w:p>
    <w:p w14:paraId="57BCC526">
      <w:pPr>
        <w:pStyle w:val="1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</w:pPr>
    </w:p>
    <w:p w14:paraId="56C4457C">
      <w:pPr>
        <w:pStyle w:val="10"/>
        <w:jc w:val="center"/>
        <w:rPr>
          <w:rFonts w:hint="default" w:ascii="Times New Roman" w:hAnsi="Times New Roman" w:eastAsia="Calibri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Calibri"/>
          <w:b/>
          <w:bCs/>
          <w:sz w:val="32"/>
          <w:szCs w:val="32"/>
          <w:lang w:val="ru-RU"/>
        </w:rPr>
        <w:t>Минск – Оломоуц – Триест –курорт Макарска (9 ночей) –</w:t>
      </w:r>
    </w:p>
    <w:p w14:paraId="4B87E918">
      <w:pPr>
        <w:pStyle w:val="10"/>
        <w:jc w:val="center"/>
        <w:rPr>
          <w:rFonts w:ascii="Times New Roman" w:hAnsi="Times New Roman" w:eastAsia="Calibri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Calibri"/>
          <w:b/>
          <w:bCs/>
          <w:sz w:val="32"/>
          <w:szCs w:val="32"/>
          <w:lang w:val="ru-RU"/>
        </w:rPr>
        <w:t>Грац – Краков* – Минск</w:t>
      </w:r>
    </w:p>
    <w:p w14:paraId="4DA558FB">
      <w:pPr>
        <w:pStyle w:val="1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Отдых на море в Хорватии 202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!</w:t>
      </w:r>
    </w:p>
    <w:p w14:paraId="6B7DEE1C">
      <w:pPr>
        <w:pStyle w:val="10"/>
        <w:jc w:val="center"/>
        <w:rPr>
          <w:lang w:val="ru-RU"/>
        </w:rPr>
      </w:pPr>
    </w:p>
    <w:tbl>
      <w:tblPr>
        <w:tblStyle w:val="3"/>
        <w:tblW w:w="5000" w:type="pct"/>
        <w:jc w:val="center"/>
        <w:tblBorders>
          <w:top w:val="single" w:color="006699" w:sz="0" w:space="0"/>
          <w:left w:val="single" w:color="006699" w:sz="0" w:space="0"/>
          <w:bottom w:val="single" w:color="006699" w:sz="0" w:space="0"/>
          <w:right w:val="single" w:color="006699" w:sz="0" w:space="0"/>
          <w:insideH w:val="single" w:color="006699" w:sz="0" w:space="0"/>
          <w:insideV w:val="single" w:color="006699" w:sz="0" w:space="0"/>
        </w:tblBorders>
        <w:tblLayout w:type="autofit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1189"/>
        <w:gridCol w:w="10216"/>
      </w:tblGrid>
      <w:tr w14:paraId="0EA84264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425" w:hRule="atLeast"/>
          <w:jc w:val="center"/>
        </w:trPr>
        <w:tc>
          <w:tcPr>
            <w:tcW w:w="1178" w:type="dxa"/>
          </w:tcPr>
          <w:p w14:paraId="7D2514A2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  <w:tc>
          <w:tcPr>
            <w:tcW w:w="10125" w:type="dxa"/>
          </w:tcPr>
          <w:p w14:paraId="12958F54">
            <w:pPr>
              <w:pStyle w:val="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Выезд из г. Минск, ориентировочно в 00:00* утра (в зависимости от ситуации на границе, возможен выезд за день ранее) . Транзит по территории Беларуси, Польши (остановка на горячее питание для желающих за доп. плату), Чехии(1070 км). Заселение в отель на территории Чехии. Ночлег.</w:t>
            </w:r>
          </w:p>
        </w:tc>
      </w:tr>
      <w:tr w14:paraId="29ED6B29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6807A4A2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день</w:t>
            </w:r>
          </w:p>
        </w:tc>
        <w:tc>
          <w:tcPr>
            <w:tcW w:w="10125" w:type="dxa"/>
          </w:tcPr>
          <w:p w14:paraId="0843BE6F">
            <w:pPr>
              <w:pStyle w:val="1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Завтрак. Экскурсия по старинному чешскому городу Оломоуц. Аутентичный городок Оломоуц — это музей под открытым небом. Архитектура, парки, фонтаны, которые можно рассматривать часами, старинная Ратуша, главная площадь города и ставший его визитной карточкой столп Пресвятой Троицы — всё это обязательно заслуживает нашего внимания. Переезд на ночлег на территории Италии (680 км).</w:t>
            </w:r>
          </w:p>
        </w:tc>
      </w:tr>
      <w:tr w14:paraId="019B682D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1434DEA3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день</w:t>
            </w:r>
          </w:p>
        </w:tc>
        <w:tc>
          <w:tcPr>
            <w:tcW w:w="10125" w:type="dxa"/>
          </w:tcPr>
          <w:p w14:paraId="4B4DC56B">
            <w:pPr>
              <w:pStyle w:val="1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Завтрак. Отправление в город Триест (75 км). Экскурсия в Триест - вольный имперский город. Этот город совершенно не похож на другие итальянские города, т.к. в прошлом был столицей Австрийского Приморья и очевидное влияние на нынешний облик оказали и Италия, и Австро-Венгрия, и Словения. Здесь средневековые улочки старого города органично сочетаются с австрийским кварталом в стиле неоклассицизма. Отдельным украшением является белоснежный и романтичный замок Мирамаре, построенный в средневековом шотландском стиле и стоящий на скале с потрясающим видом на море. Переезд на курорт Макарска (транзит 520 км). Позднее прибытие. Размещение в апартаментах.</w:t>
            </w:r>
          </w:p>
        </w:tc>
      </w:tr>
      <w:tr w14:paraId="3BB67A65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41F832B5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</w:tc>
        <w:tc>
          <w:tcPr>
            <w:tcW w:w="10125" w:type="dxa"/>
          </w:tcPr>
          <w:p w14:paraId="69BE119C">
            <w:pPr>
              <w:pStyle w:val="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отдых на курорте.</w:t>
            </w:r>
          </w:p>
        </w:tc>
      </w:tr>
      <w:tr w14:paraId="35B38C42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41" w:hRule="atLeast"/>
          <w:jc w:val="center"/>
        </w:trPr>
        <w:tc>
          <w:tcPr>
            <w:tcW w:w="1178" w:type="dxa"/>
          </w:tcPr>
          <w:p w14:paraId="62823DAB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</w:tc>
        <w:tc>
          <w:tcPr>
            <w:tcW w:w="10125" w:type="dxa"/>
          </w:tcPr>
          <w:p w14:paraId="3984C62D">
            <w:pPr>
              <w:pStyle w:val="1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Выселение из апартаментов (до 12.00). Отдых на побережье до 20.00. Транзит 150 км. Ночлег в Хорватии. </w:t>
            </w:r>
          </w:p>
        </w:tc>
      </w:tr>
      <w:tr w14:paraId="0839BAF7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441886A2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</w:tc>
        <w:tc>
          <w:tcPr>
            <w:tcW w:w="10125" w:type="dxa"/>
          </w:tcPr>
          <w:p w14:paraId="7BF1D9B4">
            <w:pPr>
              <w:pStyle w:val="1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Завтрак. Переезд в г. Грац (580 км). Размещение в отеле. Экскурсия по городу. Вы увидите все знаковые места центра: собор святого Эгидиуса и усыпальницу семьи Габсбургов, старую крепостную стену и легендарную двойную винтовую лесенку XV века. Мы заглянем в сказочные средневековые дворики в стиле готики, ренессанса и барокко — ведь именно они создают уютную атмосферу Граца. А также неожиданно для себя вы откроете и другое лицо города с авангардной архитектурой — Грац современный, вы увидите здание-облако Кунстхаус, а также искусственный остров-ракушку на водной глади реки Мур Муринзель. Свободное время в городе.</w:t>
            </w:r>
          </w:p>
        </w:tc>
      </w:tr>
      <w:tr w14:paraId="1E295956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09" w:hRule="atLeast"/>
          <w:jc w:val="center"/>
        </w:trPr>
        <w:tc>
          <w:tcPr>
            <w:tcW w:w="1178" w:type="dxa"/>
          </w:tcPr>
          <w:p w14:paraId="29C650DA">
            <w:pPr>
              <w:pStyle w:val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</w:tc>
        <w:tc>
          <w:tcPr>
            <w:tcW w:w="10125" w:type="dxa"/>
          </w:tcPr>
          <w:p w14:paraId="38187ABC">
            <w:pPr>
              <w:pStyle w:val="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Завтрак. Отправление в Краков (транзит 660 км). Прибытие вечером. Свободное время в городе для покупок или экскурсии (за доп. плату 15 евро для желающих). Ночлег в отеле.</w:t>
            </w:r>
          </w:p>
        </w:tc>
      </w:tr>
      <w:tr w14:paraId="0F86353E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09" w:hRule="atLeast"/>
          <w:jc w:val="center"/>
        </w:trPr>
        <w:tc>
          <w:tcPr>
            <w:tcW w:w="1178" w:type="dxa"/>
          </w:tcPr>
          <w:p w14:paraId="6ED06F19">
            <w:pPr>
              <w:pStyle w:val="1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15 день</w:t>
            </w:r>
          </w:p>
        </w:tc>
        <w:tc>
          <w:tcPr>
            <w:tcW w:w="10125" w:type="dxa"/>
          </w:tcPr>
          <w:p w14:paraId="3BD0A3E8">
            <w:pPr>
              <w:pStyle w:val="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Завтрак. Переезд на границу (450 км). Прохождение границы. Переезд в Минск (350 км). Прибытие ночью либо на следующий день.</w:t>
            </w:r>
          </w:p>
        </w:tc>
      </w:tr>
    </w:tbl>
    <w:p w14:paraId="1A690AD5">
      <w:pPr>
        <w:pStyle w:val="10"/>
        <w:rPr>
          <w:rFonts w:hint="default" w:ascii="Times New Roman" w:hAnsi="Times New Roman" w:eastAsia="Times New Roman" w:cs="Times New Roman"/>
          <w:b/>
          <w:bCs/>
          <w:sz w:val="15"/>
          <w:szCs w:val="15"/>
          <w:lang w:val="ru-RU"/>
        </w:rPr>
      </w:pPr>
      <w:r>
        <w:rPr>
          <w:rFonts w:ascii="Times New Roman" w:hAnsi="Times New Roman" w:cs="Times New Roman"/>
          <w:b/>
          <w:bCs/>
          <w:sz w:val="15"/>
          <w:szCs w:val="15"/>
          <w:lang w:val="ru-RU"/>
        </w:rPr>
        <w:t>В стоимость включено:</w:t>
      </w:r>
      <w:r>
        <w:rPr>
          <w:rFonts w:ascii="Times New Roman" w:hAnsi="Times New Roman" w:eastAsia="Times New Roman" w:cs="Times New Roman"/>
          <w:b/>
          <w:bCs/>
          <w:sz w:val="15"/>
          <w:szCs w:val="15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15"/>
          <w:szCs w:val="15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15"/>
          <w:szCs w:val="15"/>
          <w:lang w:val="ru-RU"/>
        </w:rPr>
        <w:t>Проезд комфортабельным автобусом по маршруту; Сопровождение по маршруту следования, на курорте сопровождает принимающий партнер. Обзорные экскурсии: г. Оломоуц, г. Триест, г. Грац. Проживание в выбранных апартаментах, без питания (9 ночей).  5 транзитных ночлегов в отелях. 5 завтраков в транзитных отелях</w:t>
      </w:r>
    </w:p>
    <w:p w14:paraId="38975670">
      <w:pPr>
        <w:pStyle w:val="1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hint="default" w:ascii="Times New Roman" w:hAnsi="Times New Roman" w:eastAsia="Times New Roman" w:cs="Times New Roman"/>
          <w:sz w:val="15"/>
          <w:szCs w:val="15"/>
          <w:lang w:val="ru-RU"/>
        </w:rPr>
        <w:t xml:space="preserve">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"https://global-travel.by/15-sightseeing-tours/6216-bolshoy-slavyanskiy-kaleydoskop-otdyih-v-gretsii.html" \l "%D0%B4%D0%BE%D0%BF%D0%BE%D0%BB%D0%BD%D0%B8%D1%82%D0%B5%D0%BB%D1%8C%D0%BD%D0%BE-%D0%BE%D0%BF%D0%BB%D0%B0%D1%87%D0%B8%D0%B2%D0%B0%D0%B5%D1%82%D1%81%D1%8F" </w:instrText>
      </w:r>
      <w:r>
        <w:rPr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  <w:u w:val="single"/>
          <w:lang w:val="ru-RU"/>
        </w:rPr>
        <w:t>Дополнительно оплачивается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  <w:lang w:val="ru-RU"/>
        </w:rPr>
        <w:fldChar w:fldCharType="end"/>
      </w:r>
    </w:p>
    <w:p w14:paraId="1DC4E7CD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/>
          <w:sz w:val="16"/>
          <w:szCs w:val="16"/>
          <w:lang w:val="ru-RU"/>
        </w:rPr>
        <w:t>Туристическая услуга – 250 руб. для взрослых, 150 руб. для детей до 18 лет;</w:t>
      </w:r>
    </w:p>
    <w:p w14:paraId="533BEFBA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Визовая поддержка - 150 руб;</w:t>
      </w:r>
    </w:p>
    <w:p w14:paraId="4DA9051A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Консульский сбор – 35€ для взрослых, дети до 12 лет – бесплатно +</w:t>
      </w:r>
    </w:p>
    <w:p w14:paraId="7489F356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сервисный сбор 30 евро;</w:t>
      </w:r>
    </w:p>
    <w:p w14:paraId="5B74FDEB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Медицинская страховка – 6-7$;</w:t>
      </w:r>
    </w:p>
    <w:p w14:paraId="41EF3F5E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Посещение дополнительных экскурсий при наличии возможности ( цены</w:t>
      </w:r>
    </w:p>
    <w:p w14:paraId="0BAF8737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указаны по состоянию на 2025г дети/взрослые): на курорте – Дубровник ( 50</w:t>
      </w:r>
    </w:p>
    <w:p w14:paraId="7BA8631D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взр/35дети), прогулка на кораблике с посещением островов Хвар и Брач ( 50</w:t>
      </w:r>
    </w:p>
    <w:p w14:paraId="0E2794A6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взр/35дети ), подъем на стеклянный мост на г. Биоково (60 взр/35дети),</w:t>
      </w:r>
    </w:p>
    <w:p w14:paraId="0A9A9CDC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рафтинг ( 40 взр/30 дети) – Краков ( 15 евро);</w:t>
      </w:r>
    </w:p>
    <w:p w14:paraId="36149488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Городские налоги в отелях – 2 евро/день, дети до 12 лет бесплатно</w:t>
      </w:r>
    </w:p>
    <w:p w14:paraId="76ACB47C">
      <w:pPr>
        <w:pStyle w:val="10"/>
        <w:ind w:firstLine="709"/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Выбор места в автобусе – 10€</w:t>
      </w:r>
    </w:p>
    <w:p w14:paraId="71603919">
      <w:pPr>
        <w:pStyle w:val="10"/>
        <w:ind w:firstLine="709"/>
        <w:rPr>
          <w:rFonts w:hint="default"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/>
          <w:sz w:val="16"/>
          <w:szCs w:val="16"/>
          <w:lang w:val="ru-RU"/>
        </w:rPr>
        <w:t>Наушники – 3€/день</w:t>
      </w:r>
    </w:p>
    <w:p w14:paraId="4A29352D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14.06.2025 Villa Mila,Bone,Viseslav -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680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E9E7A6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3</w:t>
      </w:r>
      <w:r>
        <w:rPr>
          <w:rFonts w:ascii="Times New Roman" w:hAnsi="Times New Roman" w:cs="Times New Roman"/>
          <w:sz w:val="16"/>
          <w:szCs w:val="16"/>
        </w:rPr>
        <w:t>.06.2025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0D689F27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02</w:t>
      </w:r>
      <w:r>
        <w:rPr>
          <w:rFonts w:ascii="Times New Roman" w:hAnsi="Times New Roman" w:cs="Times New Roman"/>
          <w:sz w:val="16"/>
          <w:szCs w:val="16"/>
        </w:rPr>
        <w:t>.0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7</w:t>
      </w:r>
      <w:r>
        <w:rPr>
          <w:rFonts w:ascii="Times New Roman" w:hAnsi="Times New Roman" w:cs="Times New Roman"/>
          <w:sz w:val="16"/>
          <w:szCs w:val="16"/>
        </w:rPr>
        <w:t>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0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01AE5877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11</w:t>
      </w:r>
      <w:r>
        <w:rPr>
          <w:rFonts w:ascii="Times New Roman" w:hAnsi="Times New Roman" w:cs="Times New Roman"/>
          <w:sz w:val="16"/>
          <w:szCs w:val="16"/>
        </w:rPr>
        <w:t>.07.2025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188470AD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20</w:t>
      </w:r>
      <w:r>
        <w:rPr>
          <w:rFonts w:ascii="Times New Roman" w:hAnsi="Times New Roman" w:cs="Times New Roman"/>
          <w:sz w:val="16"/>
          <w:szCs w:val="16"/>
        </w:rPr>
        <w:t>.07.2025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80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2BE34D1B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9</w:t>
      </w:r>
      <w:r>
        <w:rPr>
          <w:rFonts w:ascii="Times New Roman" w:hAnsi="Times New Roman" w:cs="Times New Roman"/>
          <w:sz w:val="16"/>
          <w:szCs w:val="16"/>
        </w:rPr>
        <w:t>.07.2025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4A11CE63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7</w:t>
      </w:r>
      <w:r>
        <w:rPr>
          <w:rFonts w:ascii="Times New Roman" w:hAnsi="Times New Roman" w:cs="Times New Roman"/>
          <w:sz w:val="16"/>
          <w:szCs w:val="16"/>
        </w:rPr>
        <w:t>.08.2025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</w:t>
      </w:r>
      <w:r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2827940B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16</w:t>
      </w:r>
      <w:r>
        <w:rPr>
          <w:rFonts w:ascii="Times New Roman" w:hAnsi="Times New Roman" w:cs="Times New Roman"/>
          <w:sz w:val="16"/>
          <w:szCs w:val="16"/>
        </w:rPr>
        <w:t>.08.2025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116728F0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25</w:t>
      </w:r>
      <w:r>
        <w:rPr>
          <w:rFonts w:ascii="Times New Roman" w:hAnsi="Times New Roman" w:cs="Times New Roman"/>
          <w:sz w:val="16"/>
          <w:szCs w:val="16"/>
        </w:rPr>
        <w:t>.08.2025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</w:t>
      </w:r>
      <w:r>
        <w:rPr>
          <w:rFonts w:ascii="Times New Roman" w:hAnsi="Times New Roman" w:cs="Times New Roman"/>
          <w:sz w:val="16"/>
          <w:szCs w:val="16"/>
        </w:rPr>
        <w:t>0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3D9A48D8">
      <w:pPr>
        <w:pStyle w:val="1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03</w:t>
      </w:r>
      <w:r>
        <w:rPr>
          <w:rFonts w:ascii="Times New Roman" w:hAnsi="Times New Roman" w:cs="Times New Roman"/>
          <w:sz w:val="16"/>
          <w:szCs w:val="16"/>
        </w:rPr>
        <w:t>.0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9</w:t>
      </w:r>
      <w:r>
        <w:rPr>
          <w:rFonts w:ascii="Times New Roman" w:hAnsi="Times New Roman" w:cs="Times New Roman"/>
          <w:sz w:val="16"/>
          <w:szCs w:val="16"/>
        </w:rPr>
        <w:t>.2025 Villa Mila,Bone,Viseslav - 7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45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62E94F26">
      <w:pPr>
        <w:pStyle w:val="10"/>
        <w:ind w:firstLine="709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12</w:t>
      </w:r>
      <w:r>
        <w:rPr>
          <w:rFonts w:ascii="Times New Roman" w:hAnsi="Times New Roman" w:cs="Times New Roman"/>
          <w:sz w:val="16"/>
          <w:szCs w:val="16"/>
        </w:rPr>
        <w:t xml:space="preserve">.09.2025 Villa Mila,Bone,Viseslav -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735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2B8E45FD">
      <w:pPr>
        <w:pStyle w:val="10"/>
        <w:ind w:firstLine="709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21</w:t>
      </w:r>
      <w:r>
        <w:rPr>
          <w:rFonts w:ascii="Times New Roman" w:hAnsi="Times New Roman" w:cs="Times New Roman"/>
          <w:sz w:val="16"/>
          <w:szCs w:val="16"/>
        </w:rPr>
        <w:t>.09.2025 Villa Mila,Bone,Viseslav - 6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80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евро</w:t>
      </w:r>
    </w:p>
    <w:p w14:paraId="05D15A44">
      <w:pPr>
        <w:pStyle w:val="10"/>
        <w:ind w:firstLine="709"/>
        <w:rPr>
          <w:rFonts w:ascii="Times New Roman" w:hAnsi="Times New Roman" w:cs="Times New Roman"/>
          <w:sz w:val="16"/>
          <w:szCs w:val="16"/>
          <w:lang w:val="ru-RU"/>
        </w:rPr>
      </w:pPr>
    </w:p>
    <w:p w14:paraId="74D8813D">
      <w:pPr>
        <w:pStyle w:val="10"/>
        <w:ind w:left="72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ru-RU"/>
        </w:rPr>
        <w:t>Туристическое предприятие оставляет за собой право изменять график поездок по мере комплектации группы, а также вносить некоторые изменения в программу тура и цены, осуществлять замену заявленных отелей и ресторанов на равнозначные. Время в пути указано ориентировочное. Фирма не несет ответственности за задержки, связанные с простоем на границах, эпидемиологическими проверками, пробками на дорогах.</w:t>
      </w:r>
    </w:p>
    <w:sectPr>
      <w:footerReference r:id="rId5" w:type="default"/>
      <w:pgSz w:w="11905" w:h="16837"/>
      <w:pgMar w:top="16" w:right="300" w:bottom="0" w:left="300" w:header="720" w:footer="720" w:gutter="0"/>
      <w:lnNumType w:countBy="1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F3B8B"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A"/>
    <w:rsid w:val="002C3EE5"/>
    <w:rsid w:val="003A2FDA"/>
    <w:rsid w:val="003C066C"/>
    <w:rsid w:val="003E129A"/>
    <w:rsid w:val="004D3A61"/>
    <w:rsid w:val="005876CE"/>
    <w:rsid w:val="006A2265"/>
    <w:rsid w:val="007A6382"/>
    <w:rsid w:val="007B6C35"/>
    <w:rsid w:val="00825F57"/>
    <w:rsid w:val="008A56E4"/>
    <w:rsid w:val="00961D2D"/>
    <w:rsid w:val="00993133"/>
    <w:rsid w:val="009C60F6"/>
    <w:rsid w:val="00A10AA2"/>
    <w:rsid w:val="00BD5B8A"/>
    <w:rsid w:val="00C55C05"/>
    <w:rsid w:val="00C56CAF"/>
    <w:rsid w:val="00D23F41"/>
    <w:rsid w:val="00E854C6"/>
    <w:rsid w:val="00ED06FD"/>
    <w:rsid w:val="099D13BA"/>
    <w:rsid w:val="19F94D65"/>
    <w:rsid w:val="5A5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="Arial" w:cs="Arial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table" w:customStyle="1" w:styleId="9">
    <w:name w:val="Star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cPr>
        <w:shd w:val="clear" w:color="auto" w:fill="FFFFFF"/>
      </w:tcPr>
    </w:tblStylePr>
  </w:style>
  <w:style w:type="paragraph" w:styleId="10">
    <w:name w:val="No Spacing"/>
    <w:qFormat/>
    <w:uiPriority w:val="1"/>
    <w:pPr>
      <w:spacing w:after="0" w:line="240" w:lineRule="auto"/>
    </w:pPr>
    <w:rPr>
      <w:rFonts w:ascii="Arial" w:hAnsi="Arial" w:eastAsia="Arial" w:cs="Arial"/>
      <w:lang w:val="en-US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758</Words>
  <Characters>4321</Characters>
  <Lines>36</Lines>
  <Paragraphs>10</Paragraphs>
  <TotalTime>162</TotalTime>
  <ScaleCrop>false</ScaleCrop>
  <LinksUpToDate>false</LinksUpToDate>
  <CharactersWithSpaces>5069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2024-12-09T16:00:00Z</dcterms:created>
  <dc:creator>Марина Молокович</dc:creator>
  <cp:lastModifiedBy>Антонина Трофимова</cp:lastModifiedBy>
  <dcterms:modified xsi:type="dcterms:W3CDTF">2025-11-19T11:06:31Z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FAAFE5C65E804996A6546F4B13A39866_13</vt:lpwstr>
  </property>
</Properties>
</file>